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2" w:rsidRPr="009E7712" w:rsidRDefault="009E7712" w:rsidP="009E7712">
      <w:pPr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9385254"/>
            <wp:effectExtent l="19050" t="0" r="9525" b="0"/>
            <wp:docPr id="2" name="Рисунок 2" descr="C:\Users\Vfhbyf\Downloads\Attachments_shkola1-mutsalaul@yandex.ru_2018-10-29_16-05-40\антикоррупционный станд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hbyf\Downloads\Attachments_shkola1-mutsalaul@yandex.ru_2018-10-29_16-05-40\антикоррупционный станд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2" cy="93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712">
        <w:rPr>
          <w:rFonts w:ascii="Times New Roman" w:hAnsi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9E7712" w:rsidRPr="009E7712" w:rsidRDefault="009E7712" w:rsidP="009E77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E7712">
        <w:rPr>
          <w:rFonts w:ascii="Times New Roman" w:hAnsi="Times New Roman"/>
          <w:b/>
          <w:sz w:val="28"/>
          <w:szCs w:val="28"/>
        </w:rPr>
        <w:t>«Муцалаульскаясредняя общеобразовательная школа№1 им.А.Я.Абдуллаева»</w:t>
      </w:r>
    </w:p>
    <w:p w:rsidR="009E7712" w:rsidRPr="009E7712" w:rsidRDefault="009E7712" w:rsidP="009E77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E7712">
        <w:rPr>
          <w:rFonts w:ascii="Times New Roman" w:hAnsi="Times New Roman"/>
          <w:b/>
          <w:sz w:val="28"/>
          <w:szCs w:val="28"/>
        </w:rPr>
        <w:t>Хасавюртовского района 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9"/>
        <w:gridCol w:w="5282"/>
      </w:tblGrid>
      <w:tr w:rsidR="009E7712" w:rsidRPr="009E7712" w:rsidTr="004C2B11">
        <w:trPr>
          <w:trHeight w:val="126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педагогическом совете  школы</w:t>
            </w:r>
          </w:p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 6_от 29.06.2018г.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                             А.Х.Ибрагимов</w:t>
            </w:r>
          </w:p>
          <w:p w:rsidR="009E7712" w:rsidRPr="009E7712" w:rsidRDefault="009E7712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7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75.8.  от _28.08.2018 г.</w:t>
            </w:r>
          </w:p>
        </w:tc>
      </w:tr>
    </w:tbl>
    <w:p w:rsidR="009E7712" w:rsidRPr="009E7712" w:rsidRDefault="009E7712" w:rsidP="009E7712">
      <w:pPr>
        <w:spacing w:before="100" w:beforeAutospacing="1" w:after="100" w:afterAutospacing="1"/>
        <w:ind w:firstLine="624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                                                          </w:t>
      </w:r>
      <w:r w:rsidRPr="009E7712">
        <w:rPr>
          <w:rStyle w:val="a5"/>
          <w:rFonts w:ascii="Times New Roman" w:hAnsi="Times New Roman"/>
          <w:sz w:val="24"/>
          <w:szCs w:val="24"/>
        </w:rPr>
        <w:t>ПОЛОЖЕНИЕ</w:t>
      </w:r>
    </w:p>
    <w:p w:rsidR="009E7712" w:rsidRDefault="009E7712" w:rsidP="009E7712">
      <w:pPr>
        <w:spacing w:before="100" w:beforeAutospacing="1" w:after="100" w:afterAutospacing="1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9E7712">
        <w:rPr>
          <w:rStyle w:val="a5"/>
          <w:rFonts w:ascii="Times New Roman" w:hAnsi="Times New Roman"/>
          <w:sz w:val="28"/>
          <w:szCs w:val="28"/>
        </w:rPr>
        <w:t>об антикоррупционной политике  </w:t>
      </w:r>
      <w:r w:rsidRPr="009E7712">
        <w:rPr>
          <w:rFonts w:ascii="Times New Roman" w:hAnsi="Times New Roman"/>
          <w:b/>
          <w:sz w:val="28"/>
          <w:szCs w:val="28"/>
        </w:rPr>
        <w:t>муниципального казенного  общеобразовательного  учреждения «Муцалаульская средняя общеобразовательная школа№1 им.А.Я.Абдуллаева»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9E7712">
        <w:rPr>
          <w:rFonts w:ascii="Times New Roman" w:hAnsi="Times New Roman"/>
          <w:b/>
          <w:sz w:val="28"/>
          <w:szCs w:val="28"/>
        </w:rPr>
        <w:t xml:space="preserve"> Хасавюртовского района РД </w:t>
      </w:r>
      <w:r w:rsidRPr="009E77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712" w:rsidRPr="009E7712" w:rsidRDefault="009E7712" w:rsidP="009E771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9E7712">
        <w:rPr>
          <w:rStyle w:val="a5"/>
          <w:rFonts w:ascii="Times New Roman" w:hAnsi="Times New Roman"/>
          <w:sz w:val="24"/>
          <w:szCs w:val="24"/>
        </w:rPr>
        <w:t>Содержание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1.     Цели и задачи внедрения антикоррупционной политики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2.     Используемые в политике понятия и определения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3.     Основные принципы антикоррупционной деятельности организации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4.     Область применения политики и круг лиц, попадающих под ее действие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5.     Определение должностных лиц организации, ответственных за реализацию антикоррупционной политики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6.    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7.    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8.     Ответственность сотрудников за несоблюдение требований антикоррупционной политики</w:t>
      </w:r>
    </w:p>
    <w:p w:rsidR="009E7712" w:rsidRPr="009E7712" w:rsidRDefault="009E7712" w:rsidP="009E7712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9.     Порядок пересмотра и внесения изменений в антикоррупционную политику организации</w:t>
      </w:r>
    </w:p>
    <w:p w:rsidR="009E7712" w:rsidRPr="009E7712" w:rsidRDefault="009E7712" w:rsidP="009E771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9E7712">
        <w:rPr>
          <w:rStyle w:val="a7"/>
          <w:sz w:val="24"/>
          <w:szCs w:val="24"/>
        </w:rPr>
        <w:t>1.</w:t>
      </w:r>
      <w:r w:rsidRPr="009E7712">
        <w:rPr>
          <w:rStyle w:val="a7"/>
          <w:i w:val="0"/>
          <w:iCs w:val="0"/>
          <w:sz w:val="24"/>
          <w:szCs w:val="24"/>
        </w:rPr>
        <w:t xml:space="preserve">     </w:t>
      </w:r>
      <w:r w:rsidRPr="009E7712">
        <w:rPr>
          <w:rStyle w:val="a7"/>
          <w:sz w:val="24"/>
          <w:szCs w:val="24"/>
        </w:rPr>
        <w:t>Цели и задачи  внедрения антикоррупционной политики в школе</w:t>
      </w:r>
    </w:p>
    <w:p w:rsidR="009E7712" w:rsidRPr="009E7712" w:rsidRDefault="009E7712" w:rsidP="009E771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9E7712">
        <w:rPr>
          <w:sz w:val="24"/>
          <w:szCs w:val="24"/>
        </w:rPr>
        <w:t xml:space="preserve">         </w:t>
      </w:r>
    </w:p>
    <w:p w:rsidR="009E7712" w:rsidRPr="009E7712" w:rsidRDefault="009E7712" w:rsidP="009E771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 </w:t>
      </w:r>
      <w:r w:rsidRPr="009E7712">
        <w:rPr>
          <w:rFonts w:ascii="Times New Roman" w:hAnsi="Times New Roman"/>
          <w:sz w:val="24"/>
          <w:szCs w:val="24"/>
        </w:rPr>
        <w:tab/>
        <w:t>Антикоррупционная поли</w:t>
      </w:r>
      <w:r>
        <w:rPr>
          <w:rStyle w:val="a5"/>
          <w:rFonts w:ascii="Times New Roman" w:hAnsi="Times New Roman"/>
          <w:b w:val="0"/>
          <w:sz w:val="24"/>
          <w:szCs w:val="24"/>
        </w:rPr>
        <w:t>тика м</w:t>
      </w:r>
      <w:r w:rsidRPr="009E7712">
        <w:rPr>
          <w:rFonts w:ascii="Times New Roman" w:hAnsi="Times New Roman"/>
          <w:sz w:val="24"/>
          <w:szCs w:val="24"/>
        </w:rPr>
        <w:t xml:space="preserve">униципального казенного  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12">
        <w:rPr>
          <w:rFonts w:ascii="Times New Roman" w:hAnsi="Times New Roman"/>
          <w:sz w:val="24"/>
          <w:szCs w:val="24"/>
        </w:rPr>
        <w:t>«Муцалаульская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12">
        <w:rPr>
          <w:rFonts w:ascii="Times New Roman" w:hAnsi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12">
        <w:rPr>
          <w:rFonts w:ascii="Times New Roman" w:hAnsi="Times New Roman"/>
          <w:sz w:val="24"/>
          <w:szCs w:val="24"/>
        </w:rPr>
        <w:t xml:space="preserve">№1 им.А.Я.Абдуллаева» Хасавюртовского района </w:t>
      </w:r>
      <w:r w:rsidRPr="009E7712">
        <w:rPr>
          <w:rFonts w:ascii="Times New Roman" w:hAnsi="Times New Roman"/>
          <w:sz w:val="24"/>
          <w:szCs w:val="24"/>
        </w:rPr>
        <w:tab/>
        <w:t xml:space="preserve">РД </w:t>
      </w:r>
      <w:r w:rsidRPr="009E7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712">
        <w:rPr>
          <w:rFonts w:ascii="Times New Roman" w:hAnsi="Times New Roman"/>
          <w:sz w:val="24"/>
          <w:szCs w:val="24"/>
        </w:rPr>
        <w:t> (дале</w:t>
      </w:r>
      <w:proofErr w:type="gramStart"/>
      <w:r w:rsidRPr="009E7712">
        <w:rPr>
          <w:rFonts w:ascii="Times New Roman" w:hAnsi="Times New Roman"/>
          <w:sz w:val="24"/>
          <w:szCs w:val="24"/>
        </w:rPr>
        <w:t>е-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школа№1)  представляет собой комплекс взаимосвязанных принципов, процедур и конкретных мероприятий, направленных на профилактику и пресечение коррупционных </w:t>
      </w:r>
      <w:r w:rsidRPr="009E7712">
        <w:rPr>
          <w:rFonts w:ascii="Times New Roman" w:hAnsi="Times New Roman"/>
          <w:sz w:val="24"/>
          <w:szCs w:val="24"/>
        </w:rPr>
        <w:tab/>
        <w:t xml:space="preserve">правонарушений в деятельности. </w:t>
      </w:r>
    </w:p>
    <w:p w:rsidR="009E7712" w:rsidRPr="009E7712" w:rsidRDefault="009E7712" w:rsidP="009E7712">
      <w:pPr>
        <w:pStyle w:val="ListParagraph"/>
      </w:pPr>
      <w:r w:rsidRPr="009E7712"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9E7712" w:rsidRPr="009E7712" w:rsidRDefault="009E7712" w:rsidP="009E7712">
      <w:pPr>
        <w:pStyle w:val="ListParagraph"/>
        <w:ind w:firstLine="624"/>
        <w:jc w:val="both"/>
      </w:pPr>
      <w:r w:rsidRPr="009E7712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2) сотрудничество организации с правоохранительными органами;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5) предотвращение и урегулирование конфликта интересов;</w:t>
      </w:r>
    </w:p>
    <w:p w:rsidR="009E7712" w:rsidRPr="009E7712" w:rsidRDefault="009E7712" w:rsidP="009E77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9E7712" w:rsidRPr="009E7712" w:rsidRDefault="009E7712" w:rsidP="009E7712">
      <w:pPr>
        <w:spacing w:before="100" w:beforeAutospacing="1" w:after="100" w:afterAutospacing="1"/>
        <w:ind w:hanging="142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          Антикоррупционная политика школы направлена на реализацию данных мер.</w:t>
      </w:r>
    </w:p>
    <w:p w:rsidR="009E7712" w:rsidRPr="009E7712" w:rsidRDefault="009E7712" w:rsidP="009E7712">
      <w:pPr>
        <w:spacing w:before="100" w:beforeAutospacing="1" w:after="100" w:afterAutospacing="1"/>
        <w:ind w:hanging="142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     2.     Используемые в политике понятия и определения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rPr>
          <w:rFonts w:ascii="Times New Roman" w:hAnsi="Times New Roman"/>
          <w:sz w:val="24"/>
          <w:szCs w:val="24"/>
        </w:rPr>
      </w:pPr>
      <w:proofErr w:type="gramStart"/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Коррупция</w:t>
      </w:r>
      <w:r w:rsidRPr="009E7712">
        <w:rPr>
          <w:rFonts w:ascii="Times New Roman" w:hAnsi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E7712">
        <w:rPr>
          <w:rFonts w:ascii="Times New Roman" w:hAnsi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Противодействие коррупции</w:t>
      </w:r>
      <w:r w:rsidRPr="009E7712"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Организация</w:t>
      </w:r>
      <w:r w:rsidRPr="009E7712">
        <w:rPr>
          <w:rFonts w:ascii="Times New Roman" w:hAnsi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Контрагент</w:t>
      </w:r>
      <w:r w:rsidRPr="009E7712">
        <w:rPr>
          <w:rFonts w:ascii="Times New Roman" w:hAnsi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Взятка</w:t>
      </w:r>
      <w:r w:rsidRPr="009E7712">
        <w:rPr>
          <w:rFonts w:ascii="Times New Roman" w:hAnsi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Коммерческий подкуп</w:t>
      </w:r>
      <w:r w:rsidRPr="009E7712">
        <w:rPr>
          <w:rFonts w:ascii="Times New Roman" w:hAnsi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E7712" w:rsidRPr="009E7712" w:rsidRDefault="009E7712" w:rsidP="009E7712">
      <w:pPr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Конфликт интересов</w:t>
      </w:r>
      <w:r w:rsidRPr="009E7712">
        <w:rPr>
          <w:rFonts w:ascii="Times New Roman" w:hAnsi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(представителем организации) которой он является.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9E7712">
        <w:rPr>
          <w:rFonts w:ascii="Times New Roman" w:hAnsi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7712" w:rsidRPr="009E7712" w:rsidRDefault="009E7712" w:rsidP="009E771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9E7712">
        <w:rPr>
          <w:sz w:val="24"/>
          <w:szCs w:val="24"/>
        </w:rPr>
        <w:t> </w:t>
      </w:r>
      <w:r w:rsidRPr="009E7712">
        <w:rPr>
          <w:rStyle w:val="a7"/>
          <w:sz w:val="24"/>
          <w:szCs w:val="24"/>
        </w:rPr>
        <w:t>3.Основные принципы антикоррупционной  деятельности организации</w:t>
      </w:r>
    </w:p>
    <w:p w:rsidR="009E7712" w:rsidRPr="009E7712" w:rsidRDefault="009E7712" w:rsidP="009E771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   Системы мер противодействия коррупции в лицее основываться на следующих ключевых принципах: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1.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соответствия политики организации действующему законодательству и общепринятым нормам.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2.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личного примера руководства.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3.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вовлеченности работников.</w:t>
      </w:r>
    </w:p>
    <w:p w:rsidR="009E7712" w:rsidRPr="009E7712" w:rsidRDefault="009E7712" w:rsidP="009E7712">
      <w:pPr>
        <w:pStyle w:val="100"/>
        <w:ind w:firstLine="624"/>
        <w:jc w:val="both"/>
      </w:pPr>
      <w:r w:rsidRPr="009E7712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4.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соразмерности антикоррупционных процедур риску коррупции.</w:t>
      </w:r>
    </w:p>
    <w:p w:rsidR="009E7712" w:rsidRPr="009E7712" w:rsidRDefault="009E7712" w:rsidP="009E7712">
      <w:pPr>
        <w:pStyle w:val="100"/>
        <w:tabs>
          <w:tab w:val="left" w:pos="0"/>
        </w:tabs>
        <w:jc w:val="both"/>
      </w:pPr>
      <w:r w:rsidRPr="009E7712">
        <w:t xml:space="preserve">  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5.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эффективности  антикоррупционных процедур.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E7712">
        <w:t>приносят значимый результат</w:t>
      </w:r>
      <w:proofErr w:type="gramEnd"/>
      <w:r w:rsidRPr="009E7712">
        <w:t>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6.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ответственности и неотвратимости наказания.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7.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 xml:space="preserve">Принцип открытости  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9E7712" w:rsidRPr="009E7712" w:rsidRDefault="009E7712" w:rsidP="009E7712">
      <w:pPr>
        <w:pStyle w:val="100"/>
        <w:tabs>
          <w:tab w:val="left" w:pos="0"/>
          <w:tab w:val="left" w:pos="1080"/>
        </w:tabs>
        <w:jc w:val="both"/>
      </w:pPr>
      <w:r w:rsidRPr="009E7712">
        <w:rPr>
          <w:rStyle w:val="a7"/>
          <w:rFonts w:eastAsia="Times New Roman"/>
        </w:rPr>
        <w:t>8.</w:t>
      </w:r>
      <w:r w:rsidRPr="009E7712">
        <w:rPr>
          <w:rStyle w:val="a7"/>
          <w:rFonts w:eastAsia="Times New Roman"/>
          <w:i w:val="0"/>
          <w:iCs w:val="0"/>
        </w:rPr>
        <w:t xml:space="preserve">        </w:t>
      </w:r>
      <w:r w:rsidRPr="009E7712">
        <w:rPr>
          <w:rStyle w:val="a7"/>
        </w:rPr>
        <w:t>Принцип постоянного контроля и регулярного мониторинга.</w:t>
      </w:r>
    </w:p>
    <w:p w:rsidR="009E7712" w:rsidRPr="009E7712" w:rsidRDefault="009E7712" w:rsidP="009E7712">
      <w:pPr>
        <w:pStyle w:val="100"/>
        <w:tabs>
          <w:tab w:val="left" w:pos="0"/>
        </w:tabs>
        <w:ind w:firstLine="624"/>
        <w:jc w:val="both"/>
      </w:pPr>
      <w:r w:rsidRPr="009E7712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E7712">
        <w:t>контроля за</w:t>
      </w:r>
      <w:proofErr w:type="gramEnd"/>
      <w:r w:rsidRPr="009E7712">
        <w:t xml:space="preserve"> их исполнением.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9E7712">
        <w:rPr>
          <w:rStyle w:val="a5"/>
          <w:rFonts w:ascii="Times New Roman" w:hAnsi="Times New Roman"/>
          <w:sz w:val="24"/>
          <w:szCs w:val="24"/>
        </w:rPr>
        <w:t>нужно включить в текст договоров.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9E7712" w:rsidRPr="009E7712" w:rsidRDefault="009E7712" w:rsidP="009E7712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9E7712" w:rsidRPr="009E7712" w:rsidRDefault="009E7712" w:rsidP="009E7712">
      <w:pPr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9E7712" w:rsidRPr="009E7712" w:rsidRDefault="009E7712" w:rsidP="009E7712">
      <w:pPr>
        <w:pStyle w:val="ListParagraph"/>
        <w:ind w:firstLine="624"/>
        <w:jc w:val="both"/>
      </w:pPr>
      <w:r w:rsidRPr="009E7712">
        <w:t>Эти обязанности  включают в частности: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организация проведения оценки коррупционных рисков;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 xml:space="preserve">организация заполнения и рассмотрения </w:t>
      </w:r>
      <w:r w:rsidRPr="009E7712">
        <w:rPr>
          <w:rStyle w:val="a5"/>
        </w:rPr>
        <w:t xml:space="preserve">деклараций </w:t>
      </w:r>
      <w:r w:rsidRPr="009E7712">
        <w:t>о конфликте интересов;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 </w:t>
      </w:r>
      <w:r w:rsidRPr="009E7712">
        <w:rPr>
          <w:rFonts w:ascii="Times New Roman" w:hAnsi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воздерживаться от совершения и (или) участия в совершении коррупционных правонарушений в интересах или от имени школы;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·   воздерживаться от поведения, которое может быть истолковано окружающими как готовность </w:t>
      </w:r>
      <w:proofErr w:type="gramStart"/>
      <w:r w:rsidRPr="009E7712">
        <w:rPr>
          <w:rFonts w:ascii="Times New Roman" w:hAnsi="Times New Roman"/>
          <w:sz w:val="24"/>
          <w:szCs w:val="24"/>
        </w:rPr>
        <w:t>совершить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школы;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9E7712" w:rsidRPr="009E7712" w:rsidRDefault="009E7712" w:rsidP="009E7712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9E7712">
        <w:rPr>
          <w:sz w:val="24"/>
          <w:szCs w:val="24"/>
        </w:rPr>
        <w:t> </w:t>
      </w:r>
      <w:r w:rsidRPr="009E7712">
        <w:rPr>
          <w:rStyle w:val="a7"/>
          <w:sz w:val="24"/>
          <w:szCs w:val="24"/>
        </w:rPr>
        <w:t>7. Установление перечня реализуемых образовательным учреждением  антикоррупционных  мероприятий, стандартов и процедур и  порядок их выполнения (применения)</w:t>
      </w:r>
    </w:p>
    <w:p w:rsidR="009E7712" w:rsidRPr="009E7712" w:rsidRDefault="009E7712" w:rsidP="009E7712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9E7712">
        <w:rPr>
          <w:rStyle w:val="a7"/>
          <w:sz w:val="24"/>
          <w:szCs w:val="24"/>
        </w:rPr>
        <w:t> </w:t>
      </w:r>
    </w:p>
    <w:tbl>
      <w:tblPr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8505"/>
      </w:tblGrid>
      <w:tr w:rsidR="009E7712" w:rsidRPr="009E7712" w:rsidTr="004C2B11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Style w:val="a5"/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Style w:val="a5"/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9E7712" w:rsidRPr="009E7712" w:rsidTr="004C2B11">
        <w:trPr>
          <w:trHeight w:val="3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  <w:bookmarkStart w:id="0" w:name="_ftnref1"/>
            <w:r w:rsidRPr="009E771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E7712">
              <w:rPr>
                <w:rFonts w:ascii="Times New Roman" w:hAnsi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9E7712">
              <w:rPr>
                <w:rFonts w:ascii="Times New Roman" w:hAnsi="Times New Roman"/>
                <w:sz w:val="24"/>
                <w:szCs w:val="24"/>
              </w:rPr>
            </w:r>
            <w:r w:rsidRPr="009E77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E7712">
              <w:rPr>
                <w:rStyle w:val="a8"/>
                <w:rFonts w:ascii="Times New Roman" w:hAnsi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Pr="009E77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E7712" w:rsidRPr="009E7712" w:rsidTr="004C2B11">
        <w:trPr>
          <w:trHeight w:val="3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9E7712" w:rsidRPr="009E7712" w:rsidTr="004C2B11">
        <w:trPr>
          <w:trHeight w:val="5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71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Pr="009E771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E7712">
              <w:rPr>
                <w:rFonts w:ascii="Times New Roman" w:hAnsi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9E7712">
              <w:rPr>
                <w:rFonts w:ascii="Times New Roman" w:hAnsi="Times New Roman"/>
                <w:sz w:val="24"/>
                <w:szCs w:val="24"/>
              </w:rPr>
            </w:r>
            <w:r w:rsidRPr="009E77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E7712">
              <w:rPr>
                <w:rStyle w:val="a8"/>
                <w:rFonts w:ascii="Times New Roman" w:hAnsi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Pr="009E77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E7712" w:rsidRPr="009E7712" w:rsidTr="004C2B11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2" w:rsidRPr="009E7712" w:rsidRDefault="009E7712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9E7712" w:rsidRPr="009E7712" w:rsidRDefault="009E7712" w:rsidP="009E7712">
      <w:pPr>
        <w:pStyle w:val="2"/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</w:t>
      </w:r>
      <w:r w:rsidRPr="009E7712">
        <w:rPr>
          <w:rFonts w:ascii="Times New Roman" w:hAnsi="Times New Roman"/>
          <w:color w:val="auto"/>
          <w:sz w:val="24"/>
          <w:szCs w:val="24"/>
        </w:rPr>
        <w:t>7.     Оценка коррупционных рисков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9E7712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9E7712" w:rsidRPr="009E7712" w:rsidRDefault="009E7712" w:rsidP="009E7712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   Порядок проведения оценки коррупционных рисков: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·   представить деятельность </w:t>
      </w:r>
      <w:r w:rsidRPr="009E7712">
        <w:rPr>
          <w:rStyle w:val="a5"/>
          <w:rFonts w:ascii="Times New Roman" w:hAnsi="Times New Roman"/>
          <w:sz w:val="24"/>
          <w:szCs w:val="24"/>
        </w:rPr>
        <w:t>организации</w:t>
      </w:r>
      <w:r w:rsidRPr="009E7712">
        <w:rPr>
          <w:rFonts w:ascii="Times New Roman" w:hAnsi="Times New Roman"/>
          <w:sz w:val="24"/>
          <w:szCs w:val="24"/>
        </w:rPr>
        <w:t xml:space="preserve"> в виде отдельных  процессов, в каждом из которых выделить составные элементы (подпроцессы);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выделить «критические точки» - для каждого 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E7712" w:rsidRPr="009E7712" w:rsidRDefault="009E7712" w:rsidP="009E7712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9E7712" w:rsidRPr="009E7712" w:rsidRDefault="009E7712" w:rsidP="009E7712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9E7712" w:rsidRPr="009E7712" w:rsidRDefault="009E7712" w:rsidP="009E7712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- вероятные формы осуществления коррупционных платежей.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·    Разработать комплекс мер по устранению или минимизации коррупционных рисков.  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9E7712">
        <w:rPr>
          <w:rFonts w:ascii="Times New Roman" w:hAnsi="Times New Roman"/>
          <w:b/>
          <w:sz w:val="24"/>
          <w:szCs w:val="24"/>
        </w:rPr>
        <w:t> 8. Ответственность  сотрудников за несоблюдение требований антикоррупционной политики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цели и задачи положения о конфликте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используемые в положении понятия и определения;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круг лиц, попадающих под действие положения;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основные принципы управления конфликтом интересов в организации;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обязанности работников в связи с раскрытием и урегулированием конфликта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определение лиц, ответственных за прием сведений о возникшем конфликте интересов и рассмотрение этих сведений;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ответственность работников за несоблюдение положения о конфликте интересов.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sz w:val="24"/>
          <w:szCs w:val="24"/>
        </w:rPr>
        <w:t> </w:t>
      </w:r>
      <w:r w:rsidRPr="009E7712">
        <w:rPr>
          <w:rFonts w:ascii="Times New Roman" w:hAnsi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обязательность раскрытия сведений о реальном или потенциальном конфликте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конфиденциальность процесса раскрытия сведений о конфликте интересов и процесса его урегулирования;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соблюдение баланса интересов организации и работника при урегулировании конфликта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избегать (по возможности) ситуаций и обстоятельств, которые могут привести к конфликту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раскрывать возникший (реальный) или потенциальный конфликт интересов;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содействовать урегулированию возникшего конфликта интересов.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sz w:val="24"/>
          <w:szCs w:val="24"/>
        </w:rPr>
        <w:t> </w:t>
      </w:r>
      <w:r w:rsidRPr="009E7712">
        <w:rPr>
          <w:rFonts w:ascii="Times New Roman" w:hAnsi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раскрытие сведений о конфликте интересов при приеме на работу;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раскрытие сведений о конфликте интересов при назначении на новую должность;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разовое раскрытие сведений по мере возникновения ситуаций конфликта интересов.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 Школа№1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школа№1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ограничение доступа работника к конкретной информации, которая может затрагивать личные интересы работника;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пересмотр и изменение функциональных обязанностей работника;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отказ работника от своего личного интереса, порождающего конфликт с интересами организации;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увольнение работника из организации по инициативе работника;</w:t>
      </w:r>
    </w:p>
    <w:p w:rsidR="009E7712" w:rsidRPr="009E7712" w:rsidRDefault="009E7712" w:rsidP="009E771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E7712" w:rsidRPr="009E7712" w:rsidRDefault="009E7712" w:rsidP="009E7712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sz w:val="24"/>
          <w:szCs w:val="24"/>
        </w:rPr>
        <w:t> </w:t>
      </w:r>
      <w:r w:rsidRPr="009E7712">
        <w:rPr>
          <w:rFonts w:ascii="Times New Roman" w:hAnsi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9E7712" w:rsidRPr="009E7712" w:rsidRDefault="009E7712" w:rsidP="009E7712">
      <w:pPr>
        <w:pStyle w:val="2"/>
        <w:tabs>
          <w:tab w:val="num" w:pos="0"/>
        </w:tabs>
        <w:rPr>
          <w:rFonts w:ascii="Times New Roman" w:hAnsi="Times New Roman"/>
          <w:color w:val="auto"/>
          <w:sz w:val="24"/>
          <w:szCs w:val="24"/>
        </w:rPr>
      </w:pPr>
      <w:r w:rsidRPr="009E7712">
        <w:rPr>
          <w:rFonts w:ascii="Times New Roman" w:hAnsi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9E7712">
        <w:rPr>
          <w:rFonts w:ascii="Times New Roman" w:hAnsi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9E7712">
        <w:rPr>
          <w:rFonts w:ascii="Times New Roman" w:hAnsi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9E7712" w:rsidRPr="009E7712" w:rsidRDefault="009E7712" w:rsidP="009E7712">
      <w:pPr>
        <w:pStyle w:val="2"/>
        <w:tabs>
          <w:tab w:val="num" w:pos="0"/>
        </w:tabs>
        <w:rPr>
          <w:rFonts w:ascii="Times New Roman" w:hAnsi="Times New Roman"/>
          <w:color w:val="auto"/>
          <w:sz w:val="24"/>
          <w:szCs w:val="24"/>
        </w:rPr>
      </w:pPr>
      <w:r w:rsidRPr="009E7712">
        <w:rPr>
          <w:rFonts w:ascii="Times New Roman" w:hAnsi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коррупция в государственном и частном секторах экономики (теоретическая);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 xml:space="preserve">юридическая ответственность за совершение коррупционных правонарушений; 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E7712">
        <w:t>прикладная</w:t>
      </w:r>
      <w:proofErr w:type="gramEnd"/>
      <w:r w:rsidRPr="009E7712">
        <w:t>);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выявление и разрешение конфликта интересов при выполнении трудовых обязанностей (</w:t>
      </w:r>
      <w:proofErr w:type="gramStart"/>
      <w:r w:rsidRPr="009E7712">
        <w:t>прикладная</w:t>
      </w:r>
      <w:proofErr w:type="gramEnd"/>
      <w:r w:rsidRPr="009E7712">
        <w:t>);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E7712" w:rsidRPr="009E7712" w:rsidRDefault="009E7712" w:rsidP="009E7712">
      <w:pPr>
        <w:pStyle w:val="ListParagraph"/>
        <w:tabs>
          <w:tab w:val="left" w:pos="851"/>
          <w:tab w:val="num" w:pos="1440"/>
        </w:tabs>
        <w:ind w:firstLine="624"/>
        <w:jc w:val="both"/>
      </w:pPr>
      <w:r w:rsidRPr="009E7712">
        <w:rPr>
          <w:rFonts w:eastAsia="Times New Roman"/>
        </w:rPr>
        <w:t xml:space="preserve">·   </w:t>
      </w:r>
      <w:r w:rsidRPr="009E7712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E7712">
        <w:t>прикладная</w:t>
      </w:r>
      <w:proofErr w:type="gramEnd"/>
      <w:r w:rsidRPr="009E7712">
        <w:t>).</w:t>
      </w:r>
    </w:p>
    <w:p w:rsidR="009E7712" w:rsidRPr="009E7712" w:rsidRDefault="009E7712" w:rsidP="009E7712">
      <w:pPr>
        <w:pStyle w:val="ListParagraph"/>
        <w:ind w:firstLine="624"/>
        <w:jc w:val="both"/>
      </w:pPr>
      <w:r w:rsidRPr="009E7712">
        <w:t>Возможны следующие виды обучения: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·   </w:t>
      </w:r>
      <w:proofErr w:type="gramStart"/>
      <w:r w:rsidRPr="009E7712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E7712" w:rsidRPr="009E7712" w:rsidRDefault="009E7712" w:rsidP="009E771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9E7712" w:rsidRPr="009E7712" w:rsidRDefault="009E7712" w:rsidP="009E7712">
      <w:pPr>
        <w:pStyle w:val="ListParagraph"/>
        <w:ind w:firstLine="624"/>
        <w:jc w:val="both"/>
      </w:pPr>
      <w:r w:rsidRPr="009E7712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9E7712" w:rsidRPr="009E7712" w:rsidRDefault="009E7712" w:rsidP="009E7712">
      <w:pPr>
        <w:pStyle w:val="2"/>
        <w:tabs>
          <w:tab w:val="num" w:pos="0"/>
        </w:tabs>
        <w:rPr>
          <w:rFonts w:ascii="Times New Roman" w:hAnsi="Times New Roman"/>
          <w:color w:val="auto"/>
          <w:sz w:val="24"/>
          <w:szCs w:val="24"/>
        </w:rPr>
      </w:pPr>
      <w:r w:rsidRPr="009E7712">
        <w:rPr>
          <w:rFonts w:ascii="Times New Roman" w:hAnsi="Times New Roman"/>
          <w:color w:val="auto"/>
          <w:sz w:val="24"/>
          <w:szCs w:val="24"/>
        </w:rPr>
        <w:t> Федеральным законом от 6 декабря 2011 г. № 402-ФЗ «О бухгалтерском учете» установлена обязанность для всех организаций  -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E7712" w:rsidRPr="009E7712" w:rsidRDefault="009E7712" w:rsidP="009E7712">
      <w:pPr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контроль документирования операций хозяйственной деятельности организации;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·   проверка экономической обоснованности осуществляемых операций в сферах коррупционного риска.</w:t>
      </w:r>
    </w:p>
    <w:p w:rsidR="009E7712" w:rsidRPr="009E7712" w:rsidRDefault="009E7712" w:rsidP="009E771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9E771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E7712">
        <w:rPr>
          <w:rFonts w:ascii="Times New Roman" w:hAnsi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Style w:val="a7"/>
          <w:rFonts w:ascii="Times New Roman" w:hAnsi="Times New Roman"/>
          <w:b/>
          <w:bCs/>
          <w:sz w:val="24"/>
          <w:szCs w:val="24"/>
        </w:rPr>
        <w:t> 9.Порядок пересмотра и внесения изменений в антикоррупционную политику организации</w:t>
      </w:r>
    </w:p>
    <w:p w:rsidR="009E7712" w:rsidRPr="009E7712" w:rsidRDefault="009E7712" w:rsidP="009E771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E7712">
        <w:rPr>
          <w:rFonts w:ascii="Times New Roman" w:hAnsi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3A6319" w:rsidRPr="009E7712" w:rsidRDefault="003A6319" w:rsidP="009E7712"/>
    <w:sectPr w:rsidR="003A6319" w:rsidRPr="009E7712" w:rsidSect="009E7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883AC5"/>
    <w:rsid w:val="009C35BE"/>
    <w:rsid w:val="009E7712"/>
    <w:rsid w:val="00EB1D37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E771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77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77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77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9E7712"/>
    <w:rPr>
      <w:rFonts w:cs="Times New Roman"/>
      <w:i/>
      <w:iCs/>
    </w:rPr>
  </w:style>
  <w:style w:type="paragraph" w:customStyle="1" w:styleId="100">
    <w:name w:val="10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9E77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4555</Words>
  <Characters>25969</Characters>
  <Application>Microsoft Office Word</Application>
  <DocSecurity>0</DocSecurity>
  <Lines>216</Lines>
  <Paragraphs>60</Paragraphs>
  <ScaleCrop>false</ScaleCrop>
  <Company/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2018-10-29T18:51:00Z</dcterms:created>
  <dcterms:modified xsi:type="dcterms:W3CDTF">2018-10-29T18:51:00Z</dcterms:modified>
</cp:coreProperties>
</file>